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行政许可(非行政许可审批)流程图模板（表四）</w:t>
      </w:r>
    </w:p>
    <w:p>
      <w:pPr>
        <w:jc w:val="left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序号：</w: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80" o:spid="_x0000_s1026" type="#_x0000_t32" style="position:absolute;left:0;flip:x y;margin-left:443.4pt;margin-top:429.3pt;height:103pt;width:0.75pt;rotation:0f;z-index:25168179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rect id="Rectangle 1057" o:spid="_x0000_s1027" style="position:absolute;left:0;margin-left:394.6pt;margin-top:394.05pt;height:35.25pt;width:102pt;rotation:0f;z-index:25166848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不予批准，制作文书，说明理由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Quad Arrow 1076" o:spid="_x0000_s1028" type="#_x0000_t202" style="position:absolute;left:0;margin-left:328.6pt;margin-top:376.05pt;height:24pt;width:54.25pt;rotation:0f;z-index:25167769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不符合要求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32" o:spid="_x0000_s1029" type="#_x0000_t32" style="position:absolute;left:0;margin-left:328.6pt;margin-top:405.3pt;height:1.5pt;width:67.5pt;rotation:0f;z-index:25166028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Quad Arrow 1099" o:spid="_x0000_s1030" type="#_x0000_t202" style="position:absolute;left:0;margin-left:216.6pt;margin-top:421.3pt;height:24pt;width:54.25pt;rotation:0f;z-index:25169510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符合要求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97" o:spid="_x0000_s1031" type="#_x0000_t32" style="position:absolute;left:0;margin-left:276.9pt;margin-top:354.55pt;height:26.75pt;width:0.05pt;rotation:0f;z-index:2516940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54" o:spid="_x0000_s1032" type="#_x0000_t32" style="position:absolute;left:0;margin-left:276.85pt;margin-top:291.55pt;height:26.75pt;width:0.05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rect id="Rectangle 1096" o:spid="_x0000_s1033" style="position:absolute;left:0;margin-left:225.1pt;margin-top:318.3pt;height:35.25pt;width:102pt;rotation:0f;z-index:25169305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审查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Flowchart: Decision 1040" o:spid="_x0000_s1034" type="#_x0000_t110" style="position:absolute;left:0;margin-left:226.6pt;margin-top:381.3pt;height:48pt;width:101.25pt;rotation:0f;z-index:25166233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决定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78" o:spid="_x0000_s1035" type="#_x0000_t32" style="position:absolute;left:0;margin-left:276.25pt;margin-top:429.3pt;height:21.5pt;width:0.1pt;rotation:0f;z-index:25167974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rect id="Rectangle 1077" o:spid="_x0000_s1036" style="position:absolute;left:0;margin-left:225.1pt;margin-top:450.8pt;height:35.25pt;width:102pt;rotation:0f;z-index:25167872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予以批准，制作相关决定文书并公布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79" o:spid="_x0000_s1037" type="#_x0000_t32" style="position:absolute;left:0;margin-left:276.35pt;margin-top:486.05pt;height:22.25pt;width:0.2pt;rotation:0f;z-index:25168076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86" o:spid="_x0000_s1038" type="#_x0000_t32" style="position:absolute;left:0;flip:x;margin-left:144.05pt;margin-top:532.35pt;height:0.05pt;width:81.05pt;rotation:0f;z-index:251684864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70" o:spid="_x0000_s1039" type="#_x0000_t32" style="position:absolute;left:0;flip:y;margin-left:430.5pt;margin-top:94.1pt;height:74.45pt;width:0.05pt;rotation:0f;z-index:25167360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59" o:spid="_x0000_s1040" type="#_x0000_t32" style="position:absolute;left:0;flip:x;margin-left:337.6pt;margin-top:94.05pt;height:0.05pt;width:92.9pt;rotation:0f;z-index:25167052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91" o:spid="_x0000_s1041" type="#_x0000_t32" style="position:absolute;left:0;flip:y;margin-left:56.25pt;margin-top:94.05pt;height:214pt;width:0.05pt;rotation:0f;z-index:251689984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94" o:spid="_x0000_s1042" type="#_x0000_t32" style="position:absolute;left:0;margin-left:56.3pt;margin-top:94.05pt;height:0.05pt;width:164.35pt;rotation:0f;z-index:25169203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Flowchart: Preparation 1069" o:spid="_x0000_s1043" type="#_x0000_t117" style="position:absolute;left:0;margin-left:220.6pt;margin-top:67.8pt;height:53.5pt;width:117pt;rotation:0f;z-index:25167257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申请人根据前置条件目录提交前置要件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  <w:pict>
          <v:shape id="Quad Arrow 1071" o:spid="_x0000_s1044" type="#_x0000_t202" style="position:absolute;left:0;margin-left:326.35pt;margin-top:164.05pt;height:19.05pt;width:46.75pt;rotation:0f;z-index:25167462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材料不全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rect id="Rectangle 1048" o:spid="_x0000_s1045" style="position:absolute;left:0;margin-left:377.25pt;margin-top:168.55pt;height:35.25pt;width:102pt;rotation:0f;z-index:25166643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履行一次性告知义务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46" o:spid="_x0000_s1046" type="#_x0000_t32" style="position:absolute;left:0;flip:y;margin-left:320.65pt;margin-top:188.05pt;height:1.25pt;width:56.6pt;rotation:0f;z-index:25166540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92" o:spid="_x0000_s1047" type="#_x0000_t32" style="position:absolute;left:0;flip:x;margin-left:56.25pt;margin-top:308.05pt;height:0.05pt;width:33.75pt;rotation:0f;z-index:25169100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90" o:spid="_x0000_s1048" type="#_x0000_t32" style="position:absolute;left:0;margin-left:144.05pt;margin-top:203.8pt;height:87.75pt;width:0.05pt;rotation:0f;z-index:25168896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88" o:spid="_x0000_s1049" type="#_x0000_t32" style="position:absolute;left:0;flip:y;margin-left:144.05pt;margin-top:326.8pt;height:205.55pt;width:0.05pt;rotation:0f;z-index:25168691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rect id="Rectangle 1089" o:spid="_x0000_s1050" style="position:absolute;left:0;margin-left:90pt;margin-top:291.55pt;height:35.25pt;width:102pt;rotation:0f;z-index:2516879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根据原因调整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Quad Arrow 1087" o:spid="_x0000_s1051" type="#_x0000_t202" style="position:absolute;left:0;margin-left:158.1pt;margin-top:500.55pt;height:19.05pt;width:54.25pt;rotation:0f;z-index:25168588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不予批准的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Quad Arrow 1073" o:spid="_x0000_s1052" type="#_x0000_t202" style="position:absolute;left:0;margin-left:192pt;margin-top:164.05pt;height:19.05pt;width:54.25pt;rotation:0f;z-index:25167667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不符合条件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43" o:spid="_x0000_s1053" type="#_x0000_t32" style="position:absolute;left:0;flip:x;margin-left:192pt;margin-top:188.05pt;height:0.05pt;width:33.1pt;rotation:0f;z-index:25166336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Flowchart: Decision 1072" o:spid="_x0000_s1054" type="#_x0000_t110" style="position:absolute;left:0;margin-left:225.1pt;margin-top:164.05pt;height:48pt;width:101.25pt;rotation:0f;z-index:2516756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申请受理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rect id="Rectangle 1044" o:spid="_x0000_s1055" style="position:absolute;left:0;margin-left:90.4pt;margin-top:168.55pt;height:35.25pt;width:102pt;rotation:0f;z-index:25166438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不予受理，出具不予受理文书并说明理由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rect id="Rectangle 1030" o:spid="_x0000_s1056" style="position:absolute;left:0;margin-left:226.6pt;margin-top:600.55pt;height:35.25pt;width:102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事后监管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81" o:spid="_x0000_s1057" type="#_x0000_t32" style="position:absolute;left:0;margin-left:276.55pt;margin-top:556.3pt;height:44.25pt;width:0.05pt;rotation:0f;z-index:25168281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61" o:spid="_x0000_s1058" type="#_x0000_t32" style="position:absolute;left:0;flip:x;margin-left:326.35pt;margin-top:532.3pt;height:0.05pt;width:117.05pt;rotation:0f;z-index:25167155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  <w:pict>
          <v:shape id="Flowchart: Decision 1084" o:spid="_x0000_s1059" type="#_x0000_t110" style="position:absolute;left:0;margin-left:225.1pt;margin-top:508.3pt;height:48pt;width:101.25pt;rotation:0f;z-index:2516838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决定书送达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rect id="Rectangle 1027" o:spid="_x0000_s1060" style="position:absolute;left:0;margin-left:225.1pt;margin-top:256.3pt;height:35.25pt;width:102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受理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b/>
          <w:kern w:val="2"/>
          <w:sz w:val="32"/>
          <w:szCs w:val="32"/>
          <w:lang w:val="en-US" w:eastAsia="zh-CN" w:bidi="ar-SA"/>
        </w:rPr>
        <w:pict>
          <v:shape id="Straight Connector 1058" o:spid="_x0000_s1061" type="#_x0000_t32" style="position:absolute;left:0;margin-left:276.85pt;margin-top:212.05pt;height:42pt;width:0.05pt;rotation:0f;z-index:25166950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  <w:pict>
          <v:shape id="Straight Connector 1038" o:spid="_x0000_s1062" type="#_x0000_t32" style="position:absolute;left:0;margin-left:276.85pt;margin-top:121.3pt;height:42.75pt;width:0.05pt;rotation:0f;z-index:25166131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b/>
          <w:szCs w:val="21"/>
          <w:lang w:val="en-US" w:eastAsia="zh-CN"/>
        </w:rPr>
        <w:t>2</w:t>
      </w:r>
    </w:p>
    <w:p>
      <w:pPr>
        <w:jc w:val="left"/>
        <w:rPr>
          <w:rFonts w:hint="eastAsia"/>
          <w:b/>
          <w:szCs w:val="21"/>
          <w:lang w:eastAsia="zh-CN"/>
        </w:rPr>
      </w:pPr>
      <w:bookmarkStart w:id="0" w:name="_GoBack"/>
      <w:bookmarkEnd w:id="0"/>
      <w:r>
        <w:rPr>
          <w:rFonts w:hint="eastAsia"/>
          <w:b/>
          <w:szCs w:val="21"/>
        </w:rPr>
        <w:t>职权名称：</w:t>
      </w:r>
      <w:r>
        <w:rPr>
          <w:rFonts w:hint="eastAsia"/>
          <w:b/>
          <w:szCs w:val="21"/>
          <w:lang w:eastAsia="zh-CN"/>
        </w:rPr>
        <w:t>城市排水许可证行政许可</w:t>
      </w:r>
    </w:p>
    <w:p>
      <w:pPr>
        <w:jc w:val="left"/>
        <w:rPr>
          <w:rFonts w:hint="eastAsia"/>
          <w:b/>
          <w:szCs w:val="21"/>
          <w:lang w:eastAsia="zh-CN"/>
        </w:rPr>
      </w:pPr>
    </w:p>
    <w:p>
      <w:pPr>
        <w:jc w:val="left"/>
        <w:rPr>
          <w:rFonts w:hint="eastAsia"/>
          <w:b/>
          <w:szCs w:val="21"/>
          <w:lang w:eastAsia="zh-CN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7176"/>
        </w:tabs>
        <w:jc w:val="left"/>
        <w:rPr>
          <w:rFonts w:hint="eastAsia" w:cs="Times New Roman"/>
          <w:b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b/>
          <w:kern w:val="2"/>
          <w:sz w:val="21"/>
          <w:szCs w:val="21"/>
          <w:lang w:val="en-US" w:eastAsia="zh-CN" w:bidi="ar-SA"/>
        </w:rPr>
        <w:tab/>
      </w:r>
    </w:p>
    <w:p>
      <w:pPr>
        <w:tabs>
          <w:tab w:val="left" w:pos="7176"/>
        </w:tabs>
        <w:jc w:val="left"/>
        <w:rPr>
          <w:rFonts w:hint="eastAsia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7176"/>
        </w:tabs>
        <w:jc w:val="left"/>
        <w:rPr>
          <w:rFonts w:hint="eastAsia" w:cs="Times New Roman"/>
          <w:b/>
          <w:kern w:val="2"/>
          <w:sz w:val="21"/>
          <w:szCs w:val="21"/>
          <w:lang w:val="en-US" w:eastAsia="zh-CN" w:bidi="ar-SA"/>
        </w:rPr>
      </w:pPr>
    </w:p>
    <w:p>
      <w:pPr>
        <w:jc w:val="both"/>
        <w:rPr>
          <w:rFonts w:hint="eastAsia"/>
          <w:b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C703D"/>
    <w:rsid w:val="00086185"/>
    <w:rsid w:val="000D02FB"/>
    <w:rsid w:val="00154877"/>
    <w:rsid w:val="00184A9A"/>
    <w:rsid w:val="001E4D5D"/>
    <w:rsid w:val="001F02DC"/>
    <w:rsid w:val="00234487"/>
    <w:rsid w:val="002360B1"/>
    <w:rsid w:val="00292717"/>
    <w:rsid w:val="003269B6"/>
    <w:rsid w:val="003C2FA2"/>
    <w:rsid w:val="003D47DF"/>
    <w:rsid w:val="00454DFE"/>
    <w:rsid w:val="00475685"/>
    <w:rsid w:val="005108FD"/>
    <w:rsid w:val="00556C69"/>
    <w:rsid w:val="005A491C"/>
    <w:rsid w:val="00650DAC"/>
    <w:rsid w:val="006E47B1"/>
    <w:rsid w:val="00761CE1"/>
    <w:rsid w:val="007846A4"/>
    <w:rsid w:val="00812FAD"/>
    <w:rsid w:val="009D763D"/>
    <w:rsid w:val="00A52F08"/>
    <w:rsid w:val="00A836BE"/>
    <w:rsid w:val="00BC57C4"/>
    <w:rsid w:val="00C84BBD"/>
    <w:rsid w:val="00D00315"/>
    <w:rsid w:val="00D029BD"/>
    <w:rsid w:val="00D1430B"/>
    <w:rsid w:val="00D34465"/>
    <w:rsid w:val="00DA202D"/>
    <w:rsid w:val="00DC703D"/>
    <w:rsid w:val="00E13148"/>
    <w:rsid w:val="00E67399"/>
    <w:rsid w:val="00E944B1"/>
    <w:rsid w:val="00EB1CC3"/>
    <w:rsid w:val="00FF7F5C"/>
    <w:rsid w:val="05D0478C"/>
    <w:rsid w:val="102A5317"/>
    <w:rsid w:val="12433F88"/>
    <w:rsid w:val="15724C54"/>
    <w:rsid w:val="180A7E4D"/>
    <w:rsid w:val="2627182B"/>
    <w:rsid w:val="2ECA411D"/>
    <w:rsid w:val="53F90EC6"/>
    <w:rsid w:val="69D561A9"/>
    <w:rsid w:val="6AB40490"/>
    <w:rsid w:val="76310679"/>
    <w:rsid w:val="78E35F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1080"/>
        <o:r id="V:Rule2" type="connector" idref="#Straight Connector 1032"/>
        <o:r id="V:Rule3" type="connector" idref="#Straight Connector 1097"/>
        <o:r id="V:Rule4" type="connector" idref="#Straight Connector 1054"/>
        <o:r id="V:Rule5" type="connector" idref="#Straight Connector 1078"/>
        <o:r id="V:Rule6" type="connector" idref="#Straight Connector 1079"/>
        <o:r id="V:Rule7" type="connector" idref="#Straight Connector 1086"/>
        <o:r id="V:Rule8" type="connector" idref="#Straight Connector 1070"/>
        <o:r id="V:Rule9" type="connector" idref="#Straight Connector 1059"/>
        <o:r id="V:Rule10" type="connector" idref="#Straight Connector 1091"/>
        <o:r id="V:Rule11" type="connector" idref="#Straight Connector 1094"/>
        <o:r id="V:Rule12" type="connector" idref="#Straight Connector 1046"/>
        <o:r id="V:Rule13" type="connector" idref="#Straight Connector 1092"/>
        <o:r id="V:Rule14" type="connector" idref="#Straight Connector 1090"/>
        <o:r id="V:Rule15" type="connector" idref="#Straight Connector 1088"/>
        <o:r id="V:Rule16" type="connector" idref="#Straight Connector 1043"/>
        <o:r id="V:Rule17" type="connector" idref="#Straight Connector 1081"/>
        <o:r id="V:Rule18" type="connector" idref="#Straight Connector 1061"/>
        <o:r id="V:Rule19" type="connector" idref="#Straight Connector 1058"/>
        <o:r id="V:Rule20" type="connector" idref="#Straight Connector 1038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60</Characters>
  <Lines>1</Lines>
  <Paragraphs>1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2015-06-29T05:38:00Z</dcterms:created>
  <dc:creator>微软用户</dc:creator>
  <cp:lastModifiedBy>Administrator</cp:lastModifiedBy>
  <cp:lastPrinted>2015-08-18T05:40:27Z</cp:lastPrinted>
  <dcterms:modified xsi:type="dcterms:W3CDTF">2015-08-18T05:41:06Z</dcterms:modified>
  <dc:title>行政许可(非行政许可审批)流程图模板（表四）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