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textAlignment w:val="bottom"/>
        <w:rPr>
          <w:rFonts w:hint="default" w:ascii="Times New Roman" w:hAnsi="Times New Roman" w:eastAsia="黑体" w:cs="Times New Roman"/>
          <w:b w:val="0"/>
          <w:color w:val="444444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2016年东宁市</w:t>
      </w:r>
      <w:r>
        <w:rPr>
          <w:rFonts w:hint="eastAsia" w:ascii="Times New Roman" w:hAnsi="Times New Roman" w:eastAsia="黑体" w:cs="Times New Roman"/>
          <w:b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黑体" w:cs="Times New Roman"/>
          <w:b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三公</w:t>
      </w:r>
      <w:r>
        <w:rPr>
          <w:rFonts w:hint="eastAsia" w:ascii="Times New Roman" w:hAnsi="Times New Roman" w:eastAsia="黑体" w:cs="Times New Roman"/>
          <w:b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黑体" w:cs="Times New Roman"/>
          <w:b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经费决算及情况说明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textAlignment w:val="bottom"/>
        <w:rPr>
          <w:rFonts w:hint="eastAsia" w:ascii="仿宋" w:hAnsi="仿宋" w:eastAsia="仿宋" w:cs="仿宋"/>
          <w:b w:val="0"/>
          <w:color w:val="44444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vanish/>
          <w:color w:val="087CF3"/>
          <w:kern w:val="0"/>
          <w:sz w:val="32"/>
          <w:szCs w:val="32"/>
          <w:shd w:val="clear" w:fill="FFFFFF"/>
          <w:lang w:val="en-US" w:eastAsia="zh-CN" w:bidi="ar"/>
        </w:rPr>
        <w:t>操作&gt;&gt;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2016年我市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三公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经费财政拨款支出491万元，其中，因公出国（境）费71万元，因公出国（境）团组数19个，因公出国（境）人数96人；公务用车购置及运行费328万元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其中：公务用车购置费0万元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此项科目没有发生业务，所以没有数据；公务用车运行费328万元，公务用车保有量293辆；各部门公务接待费支出92万元，国内公务接待批次443次，共8111人。2016年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三公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经费财政拨款支出比上年减少17万元，下降3.35%。其中，因公出国（境）费比上年增加1万元，与预算持平，主要是因公出国团组数、人数同比增加；公务用车购置及运行费比上年减少13万元，下降3.81%，比预算减少2万元，各预算单位加强公务用车的使用管理；公务接待费比上年减少4万元，下降4.16%，比预算减少4万元，主要是我市厉行节约严格控制接待人数及接待标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按照《十八届中央政治局关于改进工作作风、密切联系群众的八项规定》、《党政机关厉行节约反对浪费条例》等有关精神和国务院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约法三章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及省、我市厉行节约严格控制财政支出的要求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市财政继续完善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三公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经费管理制度,细化市本级各部门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三公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经费支出管理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严格控制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三公</w:t>
      </w:r>
      <w:r>
        <w:rPr>
          <w:rFonts w:hint="eastAsia" w:ascii="Times New Roman" w:hAnsi="Times New Roman" w:eastAsia="仿宋" w:cs="Times New Roman"/>
          <w:b w:val="0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color w:val="444444"/>
          <w:sz w:val="32"/>
          <w:szCs w:val="32"/>
          <w:shd w:val="clear" w:fill="FFFFFF"/>
        </w:rPr>
        <w:t>经费支出规模。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04206"/>
    <w:rsid w:val="5D9C691E"/>
    <w:rsid w:val="70580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pass"/>
    <w:basedOn w:val="4"/>
    <w:uiPriority w:val="0"/>
    <w:rPr>
      <w:color w:val="D50512"/>
    </w:rPr>
  </w:style>
  <w:style w:type="character" w:customStyle="1" w:styleId="9">
    <w:name w:val="clear2"/>
    <w:basedOn w:val="4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2017-10-29T02:36:29Z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