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7D7D7" w:sz="6" w:space="11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F0000"/>
          <w:spacing w:val="0"/>
          <w:kern w:val="0"/>
          <w:sz w:val="33"/>
          <w:szCs w:val="33"/>
          <w:shd w:val="clear" w:fill="FFFFFF"/>
          <w:vertAlign w:val="baseline"/>
          <w:lang w:val="en-US" w:eastAsia="zh-CN" w:bidi="ar"/>
        </w:rPr>
        <w:t>【解读】粮食收购企业备案相关工作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  <w:t>        一、粮食收购企业备案的目的是什么？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  <w:t xml:space="preserve"> 粮食收购企业备案管理是为了落实新修订的《粮食流通管理条例》（国务院令第740号）和国家粮食和物资储备局办公室《关于认真落实〈粮食流通管理条例〉取消粮食收购资格许可有关事项的通知》（国粮办粮〔2021〕100号）要求，做好全省粮食收购企业备案管理，规范粮食收购活动，着力营造公开透明、规范有序的市场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  <w:t>        二、粮食收购企业备案的背景是什么？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  <w:t>        随着粮食收储制度改革的深入推进，粮食市场主体更为多元，粮食购销活动更加活跃，粮食收购更趋均衡化、常态化。取消粮食收购资格许可，转为粮食收购企业备案管理，是顺应粮食购销形势新变化、落实“放管服”改革精神要求的重要举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  <w:t>        三、粮食收购企业备案的对象是什么？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  <w:t>        从事小麦、稻谷、玉米、杂粮及其成品粮收购的企业（以下简称“粮食收购企业”）应在依法取得工商登记后，向收购地的县级人民政府粮食行政管理部门备案。粮食经纪人和个体工商户不办理备案；工商登记类型不是企业的农民专业合作社原则上不办理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  <w:t>        四、粮食收购企业备案的内容是什么？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  <w:t>        粮食收购企业应当向收购地的县级粮食行政管理部门备案企业名称、地址、负责人以及仓储设施等信息。同时在多地开展收购的粮食收购企业，在企业注册地点的县级粮食行政管理部门办理备案，并将备案信息提供各收购地点的县级粮食行政管理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  <w:t>        五、粮食收购企业备案的时限有什么要求？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</w:rPr>
        <w:t>        对于已办理过《粮食收购许可证》且继续从事收购业务的粮食收购企业，要在10月15日前完成备案；对于新成立的粮食收购企业，要在依法取得工商登记的15日内备案。备案内容发生变化的，应当在15日内变更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leftChars="0" w:right="0" w:firstLine="638" w:firstLineChars="266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  <w:t>六、东宁市粮食收购企业备案方式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leftChars="0" w:right="0" w:firstLine="638" w:firstLineChars="266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eastAsia="zh-CN"/>
        </w:rPr>
        <w:t>可通过以下方式进行备案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leftChars="0" w:right="0" w:firstLine="638" w:firstLineChars="266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eastAsia="zh-CN"/>
        </w:rPr>
        <w:t>东宁市粮食收购企业备案地址：东宁市党政办公中心五楼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  <w:t>515室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  <w:t>联系电话：3633977    邮箱：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  <w:instrText xml:space="preserve"> HYPERLINK "mailto:dnlsjdwb@163.com"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  <w:t>dnlsjdwb@163.com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4D4D4D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>
      <w:pPr>
        <w:spacing w:after="93" w:afterLines="30" w:line="520" w:lineRule="exact"/>
        <w:jc w:val="left"/>
        <w:rPr>
          <w:rFonts w:hint="eastAsia" w:ascii="黑体" w:hAnsi="黑体" w:eastAsia="黑体" w:cs="方正小标宋_GBK"/>
          <w:color w:val="000000"/>
          <w:kern w:val="0"/>
          <w:sz w:val="32"/>
          <w:szCs w:val="32"/>
        </w:rPr>
      </w:pPr>
    </w:p>
    <w:p>
      <w:pPr>
        <w:spacing w:after="93" w:afterLines="30" w:line="52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  <w:t>黑龙江省粮食收购企业备案表</w:t>
      </w:r>
    </w:p>
    <w:p>
      <w:pPr>
        <w:spacing w:after="93" w:afterLines="30" w:line="520" w:lineRule="exact"/>
        <w:ind w:right="640" w:firstLine="4640" w:firstLineChars="145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方正小标宋_GBK" w:eastAsia="仿宋_GB2312" w:cs="方正小标宋_GBK"/>
          <w:color w:val="000000"/>
          <w:kern w:val="0"/>
          <w:sz w:val="32"/>
          <w:szCs w:val="32"/>
        </w:rPr>
        <w:t xml:space="preserve">备案编号： </w:t>
      </w:r>
      <w:r>
        <w:rPr>
          <w:rFonts w:hint="eastAsia" w:ascii="仿宋_GB2312" w:hAnsi="方正小标宋_GBK" w:eastAsia="仿宋_GB2312" w:cs="方正小标宋_GBK"/>
          <w:color w:val="000000"/>
          <w:kern w:val="0"/>
          <w:sz w:val="32"/>
          <w:szCs w:val="32"/>
          <w:u w:val="single"/>
        </w:rPr>
        <w:t xml:space="preserve">                  </w:t>
      </w:r>
    </w:p>
    <w:tbl>
      <w:tblPr>
        <w:tblStyle w:val="3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835"/>
        <w:gridCol w:w="212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70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仿宋_GB2312" w:hAnsi="方正楷体_GBK" w:eastAsia="仿宋_GB2312"/>
                <w:sz w:val="28"/>
                <w:szCs w:val="30"/>
              </w:rPr>
            </w:pPr>
            <w:r>
              <w:rPr>
                <w:rFonts w:hint="eastAsia" w:ascii="仿宋_GB2312" w:hAnsi="方正楷体_GBK" w:eastAsia="仿宋_GB2312"/>
                <w:sz w:val="28"/>
                <w:szCs w:val="30"/>
              </w:rPr>
              <w:t>企业名称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="仿宋_GB2312" w:hAnsi="Times New Roman" w:eastAsia="仿宋_GB2312"/>
                <w:color w:val="333333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470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仿宋_GB2312" w:hAnsi="方正楷体_GBK" w:eastAsia="仿宋_GB2312"/>
                <w:sz w:val="28"/>
                <w:szCs w:val="30"/>
              </w:rPr>
            </w:pPr>
            <w:r>
              <w:rPr>
                <w:rFonts w:hint="eastAsia" w:ascii="仿宋_GB2312" w:hAnsi="方正楷体_GBK" w:eastAsia="仿宋_GB2312"/>
                <w:color w:val="333333"/>
                <w:sz w:val="28"/>
                <w:szCs w:val="30"/>
              </w:rPr>
              <w:t>通讯地址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仿宋_GB2312" w:hAnsi="Times New Roman" w:eastAsia="仿宋_GB2312"/>
                <w:color w:val="333333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70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仿宋_GB2312" w:hAnsi="方正楷体_GBK" w:eastAsia="仿宋_GB2312"/>
                <w:sz w:val="28"/>
                <w:szCs w:val="30"/>
              </w:rPr>
            </w:pPr>
            <w:r>
              <w:rPr>
                <w:rFonts w:hint="eastAsia" w:ascii="仿宋_GB2312" w:hAnsi="方正楷体_GBK" w:eastAsia="仿宋_GB2312"/>
                <w:color w:val="333333"/>
                <w:sz w:val="28"/>
                <w:szCs w:val="30"/>
              </w:rPr>
              <w:t>企业性质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仿宋_GB2312" w:hAnsi="Times New Roman" w:eastAsia="仿宋_GB2312"/>
                <w:color w:val="333333"/>
                <w:sz w:val="28"/>
                <w:szCs w:val="3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仿宋_GB2312" w:hAnsi="方正楷体_GBK" w:eastAsia="仿宋_GB2312"/>
                <w:color w:val="333333"/>
                <w:w w:val="80"/>
                <w:sz w:val="28"/>
                <w:szCs w:val="30"/>
              </w:rPr>
            </w:pPr>
            <w:r>
              <w:rPr>
                <w:rFonts w:hint="eastAsia" w:ascii="仿宋_GB2312" w:hAnsi="方正楷体_GBK" w:eastAsia="仿宋_GB2312"/>
                <w:color w:val="333333"/>
                <w:w w:val="80"/>
                <w:sz w:val="28"/>
                <w:szCs w:val="30"/>
              </w:rPr>
              <w:t>统一社会信用代码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仿宋_GB2312" w:hAnsi="Times New Roman" w:eastAsia="仿宋_GB2312"/>
                <w:color w:val="333333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方正楷体_GBK" w:eastAsia="仿宋_GB2312"/>
                <w:sz w:val="28"/>
                <w:szCs w:val="30"/>
              </w:rPr>
            </w:pPr>
            <w:r>
              <w:rPr>
                <w:rFonts w:hint="eastAsia" w:ascii="仿宋_GB2312" w:hAnsi="方正楷体_GBK" w:eastAsia="仿宋_GB2312"/>
                <w:sz w:val="28"/>
                <w:szCs w:val="30"/>
              </w:rPr>
              <w:t>法定代表人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color w:val="333333"/>
                <w:sz w:val="28"/>
                <w:szCs w:val="30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方正楷体_GBK" w:eastAsia="仿宋_GB2312"/>
                <w:color w:val="333333"/>
                <w:sz w:val="28"/>
                <w:szCs w:val="30"/>
              </w:rPr>
            </w:pPr>
            <w:r>
              <w:rPr>
                <w:rFonts w:hint="eastAsia" w:ascii="仿宋_GB2312" w:hAnsi="方正楷体_GBK" w:eastAsia="仿宋_GB2312"/>
                <w:color w:val="333333"/>
                <w:sz w:val="28"/>
                <w:szCs w:val="30"/>
              </w:rPr>
              <w:t>身份证号码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color w:val="333333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方正楷体_GBK" w:eastAsia="仿宋_GB2312"/>
                <w:color w:val="333333"/>
                <w:sz w:val="28"/>
                <w:szCs w:val="30"/>
              </w:rPr>
            </w:pPr>
            <w:r>
              <w:rPr>
                <w:rFonts w:hint="eastAsia" w:ascii="仿宋_GB2312" w:hAnsi="方正楷体_GBK" w:eastAsia="仿宋_GB2312"/>
                <w:sz w:val="28"/>
                <w:szCs w:val="30"/>
              </w:rPr>
              <w:t>手机号码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color w:val="333333"/>
                <w:sz w:val="28"/>
                <w:szCs w:val="30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方正楷体_GBK" w:eastAsia="仿宋_GB2312"/>
                <w:sz w:val="28"/>
                <w:szCs w:val="30"/>
              </w:rPr>
            </w:pPr>
            <w:r>
              <w:rPr>
                <w:rFonts w:hint="eastAsia" w:ascii="仿宋_GB2312" w:hAnsi="方正楷体_GBK" w:eastAsia="仿宋_GB2312"/>
                <w:color w:val="333333"/>
                <w:sz w:val="28"/>
                <w:szCs w:val="30"/>
              </w:rPr>
              <w:t>备案时间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color w:val="333333"/>
                <w:sz w:val="28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333333"/>
                <w:sz w:val="28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方正楷体_GBK" w:eastAsia="仿宋_GB2312" w:cs="宋体"/>
                <w:kern w:val="0"/>
                <w:sz w:val="28"/>
                <w:szCs w:val="32"/>
              </w:rPr>
            </w:pPr>
            <w:bookmarkStart w:id="0" w:name="_GoBack"/>
            <w:r>
              <w:rPr>
                <w:rFonts w:hint="eastAsia" w:ascii="仿宋_GB2312" w:hAnsi="方正楷体_GBK" w:eastAsia="仿宋_GB2312"/>
                <w:sz w:val="28"/>
                <w:szCs w:val="30"/>
              </w:rPr>
              <w:t>仓储设施信息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1.本企业库区面积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平方米；</w:t>
            </w:r>
          </w:p>
          <w:p>
            <w:pPr>
              <w:spacing w:line="40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2.本企业拥有（或租赁）完好仓容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吨（其中：保温钢板平房仓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吨）、简易仓容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吨、储粮罩棚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吨；</w:t>
            </w:r>
          </w:p>
          <w:p>
            <w:pPr>
              <w:spacing w:line="40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3.本企业具备日烘干能力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吨。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sz w:val="28"/>
                <w:szCs w:val="24"/>
              </w:rPr>
            </w:pPr>
            <w:r>
              <w:rPr>
                <w:rFonts w:hint="eastAsia" w:ascii="仿宋_GB2312" w:hAnsi="方正楷体_GBK" w:eastAsia="仿宋_GB2312"/>
                <w:sz w:val="28"/>
                <w:szCs w:val="24"/>
              </w:rPr>
              <w:t>企业承诺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eastAsia="仿宋_GB2312" w:cs="Times New Roman"/>
                <w:sz w:val="28"/>
                <w:szCs w:val="21"/>
              </w:rPr>
              <w:t>1.本表所填写信息属实。</w:t>
            </w:r>
          </w:p>
          <w:p>
            <w:pPr>
              <w:pStyle w:val="7"/>
              <w:spacing w:line="440" w:lineRule="exact"/>
              <w:rPr>
                <w:rFonts w:hint="eastAsia" w:ascii="仿宋_GB2312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eastAsia="仿宋_GB2312" w:cs="Times New Roman"/>
                <w:sz w:val="28"/>
                <w:szCs w:val="21"/>
              </w:rPr>
              <w:t>2.从事粮食收购过程中严格遵守法律、法规、规章和有关规定。</w:t>
            </w:r>
          </w:p>
          <w:p>
            <w:pPr>
              <w:pStyle w:val="7"/>
              <w:spacing w:line="440" w:lineRule="exact"/>
              <w:rPr>
                <w:rFonts w:hint="eastAsia" w:ascii="仿宋_GB2312" w:eastAsia="仿宋_GB2312" w:cs="Times New Roman"/>
                <w:sz w:val="28"/>
              </w:rPr>
            </w:pPr>
          </w:p>
          <w:p>
            <w:pPr>
              <w:pStyle w:val="7"/>
              <w:spacing w:line="440" w:lineRule="exact"/>
              <w:rPr>
                <w:rFonts w:hint="eastAsia" w:ascii="仿宋_GB2312" w:eastAsia="仿宋_GB2312" w:cs="Times New Roman"/>
                <w:sz w:val="28"/>
              </w:rPr>
            </w:pPr>
          </w:p>
          <w:p>
            <w:pPr>
              <w:pStyle w:val="7"/>
              <w:spacing w:line="440" w:lineRule="exact"/>
              <w:rPr>
                <w:rFonts w:hint="eastAsia" w:ascii="仿宋_GB2312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 xml:space="preserve">             </w:t>
            </w:r>
            <w:r>
              <w:rPr>
                <w:rFonts w:hint="eastAsia" w:ascii="仿宋_GB2312" w:eastAsia="仿宋_GB2312" w:cs="Times New Roman"/>
                <w:sz w:val="28"/>
                <w:szCs w:val="21"/>
              </w:rPr>
              <w:t>法定代表人（负责人）：</w:t>
            </w:r>
          </w:p>
          <w:p>
            <w:pPr>
              <w:pStyle w:val="7"/>
              <w:spacing w:line="440" w:lineRule="exact"/>
              <w:rPr>
                <w:rFonts w:hint="eastAsia" w:ascii="仿宋_GB2312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eastAsia="仿宋_GB2312" w:cs="Times New Roman"/>
                <w:sz w:val="28"/>
                <w:szCs w:val="21"/>
              </w:rPr>
              <w:t xml:space="preserve">             备案企业（盖章）：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sz w:val="28"/>
                <w:szCs w:val="24"/>
              </w:rPr>
            </w:pPr>
            <w:r>
              <w:rPr>
                <w:rFonts w:hint="eastAsia" w:ascii="仿宋_GB2312" w:hAnsi="方正楷体_GBK" w:eastAsia="仿宋_GB2312"/>
                <w:sz w:val="28"/>
                <w:szCs w:val="24"/>
              </w:rPr>
              <w:t>备案机关意见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333333"/>
                <w:sz w:val="28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333333"/>
                <w:sz w:val="28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333333"/>
                <w:sz w:val="28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333333"/>
                <w:sz w:val="28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333333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sz w:val="28"/>
                <w:szCs w:val="24"/>
              </w:rPr>
              <w:t xml:space="preserve">    经 办 人（签字）：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333333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sz w:val="28"/>
                <w:szCs w:val="24"/>
              </w:rPr>
              <w:t xml:space="preserve">    备案机关（盖章）：</w:t>
            </w:r>
          </w:p>
        </w:tc>
      </w:tr>
    </w:tbl>
    <w:p>
      <w:pPr>
        <w:spacing w:line="340" w:lineRule="exact"/>
        <w:ind w:left="-218" w:leftChars="-323" w:right="-573" w:rightChars="-273" w:hanging="460" w:hangingChars="218"/>
        <w:rPr>
          <w:rFonts w:hint="eastAsia"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Cs w:val="21"/>
        </w:rPr>
        <w:t>注：</w:t>
      </w:r>
      <w:r>
        <w:rPr>
          <w:rFonts w:hint="eastAsia" w:ascii="仿宋_GB2312" w:hAnsi="Times New Roman" w:eastAsia="仿宋_GB2312" w:cs="Times New Roman"/>
          <w:color w:val="000000"/>
          <w:kern w:val="0"/>
          <w:szCs w:val="21"/>
        </w:rPr>
        <w:t>1. 本表一式两份，</w:t>
      </w:r>
      <w:r>
        <w:rPr>
          <w:rFonts w:hint="eastAsia" w:ascii="仿宋_GB2312" w:hAnsi="Times New Roman" w:eastAsia="仿宋_GB2312" w:cs="Times New Roman"/>
        </w:rPr>
        <w:t>县级粮食行政管理部门和备案</w:t>
      </w:r>
      <w:r>
        <w:rPr>
          <w:rFonts w:hint="eastAsia" w:ascii="仿宋_GB2312" w:hAnsi="Times New Roman" w:eastAsia="仿宋_GB2312" w:cs="Times New Roman"/>
          <w:color w:val="000000"/>
          <w:kern w:val="0"/>
          <w:szCs w:val="21"/>
        </w:rPr>
        <w:t>企业各执一份。</w:t>
      </w:r>
    </w:p>
    <w:p>
      <w:pPr>
        <w:spacing w:line="340" w:lineRule="exact"/>
        <w:ind w:left="-221" w:leftChars="-323" w:right="-573" w:rightChars="-273" w:hanging="457" w:hangingChars="218"/>
      </w:pPr>
      <w:r>
        <w:rPr>
          <w:rFonts w:hint="eastAsia" w:ascii="仿宋_GB2312" w:hAnsi="Times New Roman" w:eastAsia="仿宋_GB2312" w:cs="Times New Roman"/>
          <w:bCs/>
          <w:color w:val="000000"/>
          <w:kern w:val="0"/>
          <w:szCs w:val="21"/>
        </w:rPr>
        <w:t xml:space="preserve">    2.</w:t>
      </w:r>
      <w:r>
        <w:rPr>
          <w:rFonts w:hint="eastAsia" w:ascii="仿宋_GB2312" w:hAnsi="Times New Roman" w:eastAsia="仿宋_GB2312" w:cs="Times New Roman"/>
          <w:szCs w:val="21"/>
        </w:rPr>
        <w:t>企业性质填写国有独资企业、国有控股企业、内资非国有企业、港澳台商及外商企业、其他企业。如填其他企业请具体写明。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60153"/>
    <w:rsid w:val="32960153"/>
    <w:rsid w:val="3F9A56F2"/>
    <w:rsid w:val="6DB94C7F"/>
    <w:rsid w:val="73DF3C0D"/>
    <w:rsid w:val="7B553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2021-10-11T01:12:00Z</dcterms:created>
  <dc:creator>Administrator</dc:creator>
  <cp:lastModifiedBy>Administrator</cp:lastModifiedBy>
  <dcterms:modified xsi:type="dcterms:W3CDTF">2021-10-11T07:47:21Z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7173030061854659B0ACE74F08550FBE</vt:lpwstr>
  </property>
</Properties>
</file>